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280" w:type="dxa"/>
        <w:tblInd w:w="108" w:type="dxa"/>
        <w:tblBorders>
          <w:top w:val="thinThickSmallGap" w:color="FF0000" w:sz="24" w:space="0"/>
          <w:left w:val="thinThickSmallGap" w:color="FF0000" w:sz="24" w:space="0"/>
          <w:bottom w:val="thinThickSmallGap" w:color="FF0000" w:sz="24" w:space="0"/>
          <w:right w:val="thinThickSmallGap" w:color="FF0000" w:sz="24" w:space="0"/>
          <w:insideH w:val="thinThickSmallGap" w:color="FF0000" w:sz="24" w:space="0"/>
          <w:insideV w:val="thinThickSmallGap" w:color="FF0000" w:sz="24" w:space="0"/>
        </w:tblBorders>
        <w:tblLayout w:type="fixed"/>
        <w:tblCellMar>
          <w:top w:w="0" w:type="dxa"/>
          <w:left w:w="108" w:type="dxa"/>
          <w:bottom w:w="0" w:type="dxa"/>
          <w:right w:w="108" w:type="dxa"/>
        </w:tblCellMar>
      </w:tblPr>
      <w:tblGrid>
        <w:gridCol w:w="8280"/>
      </w:tblGrid>
      <w:tr>
        <w:tblPrEx>
          <w:tblBorders>
            <w:top w:val="thinThickSmallGap" w:color="FF0000" w:sz="24" w:space="0"/>
            <w:left w:val="thinThickSmallGap" w:color="FF0000" w:sz="24" w:space="0"/>
            <w:bottom w:val="thinThickSmallGap" w:color="FF0000" w:sz="24" w:space="0"/>
            <w:right w:val="thinThickSmallGap" w:color="FF0000" w:sz="24" w:space="0"/>
            <w:insideH w:val="thinThickSmallGap" w:color="FF0000" w:sz="24" w:space="0"/>
            <w:insideV w:val="thinThickSmallGap" w:color="FF0000" w:sz="24" w:space="0"/>
          </w:tblBorders>
          <w:tblLayout w:type="fixed"/>
          <w:tblCellMar>
            <w:top w:w="0" w:type="dxa"/>
            <w:left w:w="108" w:type="dxa"/>
            <w:bottom w:w="0" w:type="dxa"/>
            <w:right w:w="108" w:type="dxa"/>
          </w:tblCellMar>
        </w:tblPrEx>
        <w:trPr>
          <w:trHeight w:val="150" w:hRule="atLeast"/>
        </w:trPr>
        <w:tc>
          <w:tcPr>
            <w:tcW w:w="8280" w:type="dxa"/>
            <w:tcBorders>
              <w:top w:val="nil"/>
              <w:left w:val="nil"/>
              <w:right w:val="nil"/>
            </w:tcBorders>
          </w:tcPr>
          <w:p>
            <w:pPr>
              <w:jc w:val="center"/>
              <w:rPr>
                <w:rFonts w:hint="eastAsia" w:ascii="华文中宋" w:hAnsi="华文中宋" w:eastAsia="华文中宋"/>
                <w:b/>
                <w:color w:val="FF0000"/>
                <w:sz w:val="57"/>
              </w:rPr>
            </w:pPr>
            <w:r>
              <w:rPr>
                <w:rFonts w:hint="eastAsia" w:ascii="华文中宋" w:hAnsi="华文中宋" w:eastAsia="华文中宋"/>
                <w:b/>
                <w:color w:val="FF0000"/>
                <w:sz w:val="57"/>
              </w:rPr>
              <w:t>北京市海淀区文化创意产业协会</w:t>
            </w:r>
          </w:p>
        </w:tc>
      </w:tr>
    </w:tbl>
    <w:p>
      <w:pPr>
        <w:widowControl/>
        <w:jc w:val="center"/>
        <w:rPr>
          <w:rFonts w:hint="eastAsia" w:ascii="方正小标宋简体" w:eastAsia="方正小标宋简体"/>
          <w:sz w:val="44"/>
          <w:szCs w:val="44"/>
        </w:rPr>
      </w:pPr>
      <w:r>
        <w:rPr>
          <w:rFonts w:hint="eastAsia" w:ascii="方正小标宋简体" w:eastAsia="方正小标宋简体"/>
          <w:sz w:val="44"/>
          <w:szCs w:val="44"/>
        </w:rPr>
        <w:t>中关村文化创意产业“1+4”资金政策宣讲活动通知</w:t>
      </w:r>
    </w:p>
    <w:p>
      <w:pPr>
        <w:spacing w:line="600" w:lineRule="exact"/>
        <w:rPr>
          <w:rFonts w:ascii="仿宋_GB2312" w:hAnsi="黑体" w:eastAsia="仿宋_GB2312"/>
          <w:sz w:val="32"/>
          <w:szCs w:val="32"/>
        </w:rPr>
      </w:pPr>
      <w:r>
        <w:rPr>
          <w:rFonts w:hint="eastAsia" w:ascii="仿宋_GB2312" w:hAnsi="黑体" w:eastAsia="仿宋_GB2312"/>
          <w:sz w:val="32"/>
          <w:szCs w:val="32"/>
        </w:rPr>
        <w:t>中关村各文化科技企业：</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中关村管委会陆续出台了“1+4”政策体系，即重大前沿项目与创新平台建设一项精准支持政策和创业服务、创新能力建设服务、科技金融服务和“一区多园”统筹服务等四项普惠性服务政策，以打造中关村“升级版”，支撑北京全国科技创新中心建设。</w:t>
      </w:r>
    </w:p>
    <w:p>
      <w:pPr>
        <w:jc w:val="left"/>
        <w:rPr>
          <w:rFonts w:hint="eastAsia" w:ascii="仿宋_GB2312" w:eastAsia="仿宋_GB2312"/>
          <w:sz w:val="32"/>
          <w:szCs w:val="32"/>
          <w:lang w:val="en-US" w:eastAsia="zh-CN"/>
        </w:rPr>
      </w:pPr>
      <w:r>
        <w:rPr>
          <w:rFonts w:hint="eastAsia" w:ascii="仿宋_GB2312" w:hAnsi="黑体" w:eastAsia="仿宋_GB2312"/>
          <w:sz w:val="32"/>
          <w:szCs w:val="32"/>
        </w:rPr>
        <w:t>为了促进中关村文化科技产业的发展，帮助广大企业及时了解“1+4”政策体系。海淀区文化创意产业协会将于2018年3月29日开展</w:t>
      </w:r>
      <w:bookmarkStart w:id="0" w:name="OLE_LINK1"/>
      <w:r>
        <w:rPr>
          <w:rFonts w:hint="eastAsia" w:ascii="仿宋_GB2312" w:hAnsi="黑体" w:eastAsia="仿宋_GB2312"/>
          <w:sz w:val="32"/>
          <w:szCs w:val="32"/>
        </w:rPr>
        <w:t>“1+4”资金政策宣讲活动</w:t>
      </w:r>
      <w:bookmarkEnd w:id="0"/>
      <w:r>
        <w:rPr>
          <w:rFonts w:hint="eastAsia" w:ascii="仿宋_GB2312" w:hAnsi="黑体" w:eastAsia="仿宋_GB2312"/>
          <w:sz w:val="32"/>
          <w:szCs w:val="32"/>
        </w:rPr>
        <w:t>。届时将邀请专家为企业做政策解读。</w:t>
      </w:r>
    </w:p>
    <w:p>
      <w:pPr>
        <w:ind w:left="210" w:leftChars="100"/>
        <w:jc w:val="center"/>
        <w:rPr>
          <w:rFonts w:hint="eastAsia" w:ascii="华文中宋" w:hAnsi="华文中宋" w:eastAsia="华文中宋"/>
          <w:b/>
          <w:sz w:val="32"/>
          <w:szCs w:val="32"/>
        </w:rPr>
      </w:pPr>
    </w:p>
    <w:p>
      <w:pPr>
        <w:ind w:left="210" w:leftChars="100"/>
        <w:jc w:val="center"/>
      </w:pPr>
      <w:bookmarkStart w:id="1" w:name="_GoBack"/>
      <w:bookmarkEnd w:id="1"/>
      <w:r>
        <w:rPr>
          <w:rFonts w:hint="eastAsia" w:ascii="华文中宋" w:hAnsi="华文中宋" w:eastAsia="华文中宋"/>
          <w:b/>
          <w:sz w:val="32"/>
          <w:szCs w:val="32"/>
        </w:rPr>
        <w:t>活动议程</w:t>
      </w:r>
    </w:p>
    <w:p/>
    <w:p>
      <w:pPr>
        <w:rPr>
          <w:b/>
          <w:sz w:val="28"/>
          <w:szCs w:val="28"/>
        </w:rPr>
      </w:pPr>
      <w:r>
        <w:rPr>
          <w:rFonts w:hint="eastAsia"/>
          <w:b/>
          <w:sz w:val="28"/>
          <w:szCs w:val="28"/>
        </w:rPr>
        <w:t>一、活动时间：</w:t>
      </w:r>
      <w:r>
        <w:rPr>
          <w:rFonts w:hint="eastAsia"/>
          <w:sz w:val="28"/>
          <w:szCs w:val="28"/>
        </w:rPr>
        <w:t>2018年3月29日（周四）14:00</w:t>
      </w:r>
    </w:p>
    <w:p>
      <w:pPr>
        <w:rPr>
          <w:sz w:val="28"/>
          <w:szCs w:val="28"/>
        </w:rPr>
      </w:pPr>
      <w:r>
        <w:rPr>
          <w:rFonts w:hint="eastAsia"/>
          <w:b/>
          <w:sz w:val="28"/>
          <w:szCs w:val="28"/>
        </w:rPr>
        <w:t>二、活动地点：</w:t>
      </w:r>
      <w:r>
        <w:rPr>
          <w:rFonts w:hint="eastAsia"/>
          <w:sz w:val="28"/>
          <w:szCs w:val="28"/>
        </w:rPr>
        <w:t>海淀区科技中心二层多功能厅</w:t>
      </w:r>
    </w:p>
    <w:p>
      <w:pPr>
        <w:ind w:firstLine="1820" w:firstLineChars="650"/>
        <w:rPr>
          <w:sz w:val="28"/>
          <w:szCs w:val="28"/>
        </w:rPr>
      </w:pPr>
      <w:r>
        <w:rPr>
          <w:rFonts w:hint="eastAsia"/>
          <w:sz w:val="28"/>
          <w:szCs w:val="28"/>
        </w:rPr>
        <w:t>（</w:t>
      </w:r>
      <w:r>
        <w:rPr>
          <w:sz w:val="28"/>
          <w:szCs w:val="28"/>
        </w:rPr>
        <w:t>北京市海淀区北四环中路281号</w:t>
      </w:r>
      <w:r>
        <w:rPr>
          <w:rFonts w:hint="eastAsia"/>
          <w:sz w:val="28"/>
          <w:szCs w:val="28"/>
        </w:rPr>
        <w:t>）</w:t>
      </w:r>
    </w:p>
    <w:p>
      <w:pPr>
        <w:rPr>
          <w:b/>
          <w:sz w:val="28"/>
          <w:szCs w:val="28"/>
        </w:rPr>
      </w:pPr>
      <w:r>
        <w:rPr>
          <w:rFonts w:hint="eastAsia"/>
          <w:b/>
          <w:sz w:val="28"/>
          <w:szCs w:val="28"/>
        </w:rPr>
        <w:t>三、组织机构：</w:t>
      </w:r>
    </w:p>
    <w:p>
      <w:pPr>
        <w:ind w:firstLine="560" w:firstLineChars="200"/>
        <w:rPr>
          <w:sz w:val="28"/>
          <w:szCs w:val="28"/>
        </w:rPr>
      </w:pPr>
      <w:r>
        <w:rPr>
          <w:rFonts w:hint="eastAsia"/>
          <w:sz w:val="28"/>
          <w:szCs w:val="28"/>
        </w:rPr>
        <w:t>支持单位：中关村科技园区管理委员会</w:t>
      </w:r>
    </w:p>
    <w:p>
      <w:pPr>
        <w:ind w:firstLine="560" w:firstLineChars="200"/>
        <w:rPr>
          <w:sz w:val="28"/>
          <w:szCs w:val="28"/>
        </w:rPr>
      </w:pPr>
      <w:r>
        <w:rPr>
          <w:rFonts w:hint="eastAsia"/>
          <w:sz w:val="28"/>
          <w:szCs w:val="28"/>
        </w:rPr>
        <w:t>主办单位：中关村社会组织联合会</w:t>
      </w:r>
    </w:p>
    <w:p>
      <w:pPr>
        <w:ind w:firstLine="560" w:firstLineChars="200"/>
        <w:rPr>
          <w:sz w:val="28"/>
          <w:szCs w:val="28"/>
        </w:rPr>
      </w:pPr>
      <w:r>
        <w:rPr>
          <w:rFonts w:hint="eastAsia"/>
          <w:sz w:val="28"/>
          <w:szCs w:val="28"/>
        </w:rPr>
        <w:t>承办单位：北京市海淀区文化创意产业协会</w:t>
      </w:r>
    </w:p>
    <w:p>
      <w:pPr>
        <w:ind w:firstLine="560" w:firstLineChars="200"/>
        <w:rPr>
          <w:sz w:val="28"/>
          <w:szCs w:val="28"/>
        </w:rPr>
      </w:pPr>
      <w:r>
        <w:rPr>
          <w:rFonts w:hint="eastAsia"/>
          <w:sz w:val="28"/>
          <w:szCs w:val="28"/>
        </w:rPr>
        <w:t>协办单位：北京市中小企业公共服务平台</w:t>
      </w:r>
    </w:p>
    <w:p>
      <w:pPr>
        <w:rPr>
          <w:b/>
          <w:sz w:val="28"/>
          <w:szCs w:val="28"/>
        </w:rPr>
      </w:pPr>
      <w:r>
        <w:rPr>
          <w:rFonts w:hint="eastAsia"/>
          <w:b/>
          <w:sz w:val="28"/>
          <w:szCs w:val="28"/>
        </w:rPr>
        <w:t>四、活动议程：</w:t>
      </w:r>
    </w:p>
    <w:p>
      <w:pPr>
        <w:rPr>
          <w:sz w:val="28"/>
          <w:szCs w:val="28"/>
        </w:rPr>
      </w:pPr>
      <w:r>
        <w:rPr>
          <w:rFonts w:hint="eastAsia"/>
          <w:sz w:val="28"/>
          <w:szCs w:val="28"/>
        </w:rPr>
        <w:t>14:00-14:20  参会人员签到；</w:t>
      </w:r>
    </w:p>
    <w:p>
      <w:pPr>
        <w:rPr>
          <w:sz w:val="28"/>
          <w:szCs w:val="28"/>
        </w:rPr>
      </w:pPr>
      <w:r>
        <w:rPr>
          <w:rFonts w:hint="eastAsia"/>
          <w:sz w:val="28"/>
          <w:szCs w:val="28"/>
        </w:rPr>
        <w:t>14:20-14:30  主持人介绍与会领导、嘉宾及活动概况；</w:t>
      </w:r>
    </w:p>
    <w:p>
      <w:pPr>
        <w:ind w:left="1820" w:hanging="1820" w:hangingChars="650"/>
        <w:rPr>
          <w:sz w:val="28"/>
          <w:szCs w:val="28"/>
        </w:rPr>
      </w:pPr>
      <w:r>
        <w:rPr>
          <w:rFonts w:hint="eastAsia"/>
          <w:sz w:val="28"/>
          <w:szCs w:val="28"/>
        </w:rPr>
        <w:t>14:30-15:15 《中关村国家自主创新示范区提升创新能力 优化创新环境支持资金管理办法实施细则（试行）》政策解读；</w:t>
      </w:r>
    </w:p>
    <w:p>
      <w:pPr>
        <w:ind w:left="1820" w:hanging="1820" w:hangingChars="650"/>
        <w:rPr>
          <w:sz w:val="28"/>
          <w:szCs w:val="28"/>
        </w:rPr>
      </w:pPr>
      <w:r>
        <w:rPr>
          <w:rFonts w:hint="eastAsia"/>
          <w:sz w:val="28"/>
          <w:szCs w:val="28"/>
        </w:rPr>
        <w:t>15:15-16:00  《中关村国家自主创新示范区 一区多园协同发展支持资金管理办法实施细则 （试行）》政策解读；</w:t>
      </w:r>
    </w:p>
    <w:p>
      <w:pPr>
        <w:ind w:left="1820" w:hanging="1820" w:hangingChars="650"/>
        <w:rPr>
          <w:sz w:val="28"/>
          <w:szCs w:val="28"/>
        </w:rPr>
      </w:pPr>
      <w:r>
        <w:rPr>
          <w:rFonts w:hint="eastAsia"/>
          <w:sz w:val="28"/>
          <w:szCs w:val="28"/>
        </w:rPr>
        <w:t>16:00-17:30  《中关村国家自主创新示范区科技型小微企业研发费用支持资金管理办法（试行）》政策解读；</w:t>
      </w:r>
    </w:p>
    <w:p>
      <w:pPr>
        <w:rPr>
          <w:sz w:val="28"/>
          <w:szCs w:val="28"/>
        </w:rPr>
      </w:pPr>
      <w:r>
        <w:rPr>
          <w:rFonts w:hint="eastAsia"/>
          <w:sz w:val="28"/>
          <w:szCs w:val="28"/>
        </w:rPr>
        <w:t>17:30  活动结束。</w:t>
      </w:r>
    </w:p>
    <w:p>
      <w:pPr>
        <w:rPr>
          <w:sz w:val="28"/>
          <w:szCs w:val="28"/>
        </w:rPr>
      </w:pPr>
    </w:p>
    <w:p>
      <w:pPr>
        <w:rPr>
          <w:sz w:val="28"/>
          <w:szCs w:val="28"/>
        </w:rPr>
      </w:pPr>
      <w:r>
        <w:rPr>
          <w:rFonts w:hint="eastAsia"/>
          <w:sz w:val="28"/>
          <w:szCs w:val="28"/>
        </w:rPr>
        <w:t>注：会议议程以当天实际情况为主。</w:t>
      </w:r>
    </w:p>
    <w:p>
      <w:pPr>
        <w:ind w:firstLine="640" w:firstLineChars="200"/>
        <w:jc w:val="left"/>
        <w:rPr>
          <w:rFonts w:hint="eastAsia" w:ascii="仿宋_GB2312" w:eastAsia="仿宋_GB2312"/>
          <w:sz w:val="32"/>
          <w:szCs w:val="32"/>
        </w:rPr>
      </w:pPr>
      <w:r>
        <w:rPr>
          <w:rFonts w:hint="eastAsia" w:ascii="仿宋_GB2312" w:eastAsia="仿宋_GB2312"/>
          <w:sz w:val="32"/>
          <w:szCs w:val="32"/>
        </w:rPr>
        <w:t>请各企业接到通知后，积极报名参与。</w:t>
      </w:r>
      <w:r>
        <w:rPr>
          <w:rFonts w:hint="eastAsia" w:ascii="仿宋_GB2312" w:eastAsia="仿宋_GB2312"/>
          <w:sz w:val="32"/>
          <w:szCs w:val="32"/>
          <w:lang w:eastAsia="zh-CN"/>
        </w:rPr>
        <w:t>报名截止时间：</w:t>
      </w:r>
      <w:r>
        <w:rPr>
          <w:rFonts w:hint="eastAsia" w:ascii="仿宋_GB2312" w:eastAsia="仿宋_GB2312"/>
          <w:sz w:val="32"/>
          <w:szCs w:val="32"/>
          <w:lang w:val="en-US" w:eastAsia="zh-CN"/>
        </w:rPr>
        <w:t>2018年3月28日17:00。</w:t>
      </w:r>
    </w:p>
    <w:p>
      <w:pPr>
        <w:jc w:val="left"/>
        <w:rPr>
          <w:rFonts w:hint="eastAsia" w:ascii="仿宋_GB2312" w:eastAsia="仿宋_GB2312"/>
          <w:sz w:val="32"/>
          <w:szCs w:val="32"/>
        </w:rPr>
      </w:pPr>
      <w:r>
        <w:rPr>
          <w:rFonts w:hint="eastAsia" w:ascii="仿宋_GB2312" w:eastAsia="仿宋_GB2312"/>
          <w:sz w:val="32"/>
          <w:szCs w:val="32"/>
        </w:rPr>
        <w:t>联  系 人：崇敬、李臻、李莎莎、王昱涵曦</w:t>
      </w:r>
    </w:p>
    <w:p>
      <w:pPr>
        <w:tabs>
          <w:tab w:val="left" w:pos="1260"/>
        </w:tabs>
        <w:jc w:val="left"/>
        <w:rPr>
          <w:rFonts w:hint="eastAsia" w:ascii="仿宋_GB2312" w:eastAsia="仿宋_GB2312"/>
          <w:sz w:val="32"/>
          <w:szCs w:val="32"/>
          <w:lang w:val="en-US" w:eastAsia="zh-CN"/>
        </w:rPr>
      </w:pPr>
      <w:r>
        <w:rPr>
          <w:rFonts w:hint="eastAsia" w:ascii="仿宋_GB2312" w:eastAsia="仿宋_GB2312"/>
          <w:sz w:val="32"/>
          <w:szCs w:val="32"/>
        </w:rPr>
        <w:t>电      话：88493560 </w:t>
      </w:r>
      <w:r>
        <w:rPr>
          <w:rFonts w:hint="eastAsia" w:ascii="仿宋_GB2312" w:eastAsia="仿宋_GB2312"/>
          <w:sz w:val="32"/>
          <w:szCs w:val="32"/>
          <w:lang w:val="en-US" w:eastAsia="zh-CN"/>
        </w:rPr>
        <w:t xml:space="preserve"> </w:t>
      </w:r>
    </w:p>
    <w:p>
      <w:pPr>
        <w:ind w:firstLine="1600" w:firstLineChars="5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13801093650、13001288048</w:t>
      </w:r>
    </w:p>
    <w:p>
      <w:pPr>
        <w:ind w:firstLine="1600" w:firstLineChars="500"/>
        <w:jc w:val="left"/>
        <w:rPr>
          <w:rFonts w:ascii="仿宋_GB2312" w:hAnsi="仿宋" w:eastAsia="仿宋_GB2312"/>
          <w:sz w:val="32"/>
          <w:szCs w:val="32"/>
        </w:rPr>
      </w:pPr>
      <w:r>
        <w:rPr>
          <w:rFonts w:hint="eastAsia" w:ascii="仿宋_GB2312" w:eastAsia="仿宋_GB2312"/>
          <w:sz w:val="32"/>
          <w:szCs w:val="32"/>
          <w:lang w:val="en-US" w:eastAsia="zh-CN"/>
        </w:rPr>
        <w:t>13671219507、13801163593</w:t>
      </w:r>
    </w:p>
    <w:p>
      <w:pPr>
        <w:adjustRightInd w:val="0"/>
        <w:snapToGrid w:val="0"/>
        <w:spacing w:line="600" w:lineRule="exact"/>
        <w:jc w:val="center"/>
        <w:rPr>
          <w:rFonts w:hint="eastAsia" w:ascii="方正小标宋简体" w:eastAsia="方正小标宋简体"/>
          <w:sz w:val="44"/>
          <w:szCs w:val="44"/>
        </w:rPr>
      </w:pPr>
    </w:p>
    <w:p>
      <w:pPr>
        <w:adjustRightInd w:val="0"/>
        <w:snapToGrid w:val="0"/>
        <w:spacing w:line="600" w:lineRule="exact"/>
        <w:jc w:val="center"/>
        <w:rPr>
          <w:rFonts w:ascii="方正小标宋简体" w:eastAsia="方正小标宋简体"/>
          <w:sz w:val="32"/>
          <w:szCs w:val="32"/>
        </w:rPr>
      </w:pPr>
      <w:r>
        <w:rPr>
          <w:rFonts w:hint="eastAsia" w:ascii="方正小标宋简体" w:eastAsia="方正小标宋简体"/>
          <w:sz w:val="32"/>
          <w:szCs w:val="32"/>
        </w:rPr>
        <w:t>报名方式</w:t>
      </w:r>
    </w:p>
    <w:p>
      <w:pPr>
        <w:spacing w:line="240" w:lineRule="auto"/>
        <w:jc w:val="left"/>
        <w:rPr>
          <w:rFonts w:hint="eastAsia" w:ascii="仿宋_GB2312" w:eastAsia="仿宋_GB2312"/>
          <w:sz w:val="32"/>
          <w:szCs w:val="32"/>
        </w:rPr>
      </w:pPr>
    </w:p>
    <w:p>
      <w:pPr>
        <w:jc w:val="left"/>
        <w:rPr>
          <w:rFonts w:hint="eastAsia" w:ascii="仿宋_GB2312" w:eastAsia="仿宋_GB2312"/>
          <w:sz w:val="32"/>
          <w:szCs w:val="32"/>
          <w:lang w:val="en-US" w:eastAsia="zh-CN"/>
        </w:rPr>
      </w:pPr>
      <w:r>
        <w:rPr>
          <w:rFonts w:hint="eastAsia" w:ascii="仿宋_GB2312" w:hAnsi="宋体" w:eastAsia="仿宋_GB2312"/>
          <w:sz w:val="32"/>
          <w:szCs w:val="32"/>
          <w:lang w:val="en-US" w:eastAsia="zh-CN"/>
        </w:rPr>
        <w:t>1、</w:t>
      </w:r>
      <w:r>
        <w:rPr>
          <w:rFonts w:hint="eastAsia" w:ascii="仿宋_GB2312" w:eastAsia="仿宋_GB2312"/>
          <w:sz w:val="32"/>
          <w:szCs w:val="32"/>
          <w:lang w:val="en-US" w:eastAsia="zh-CN"/>
        </w:rPr>
        <w:t>登陆中关村社会组织创新创业服务平台网站http://shuangchuang.zgcshzz.org/index.php?m=content&amp;c=index&amp;a=show&amp;catid=142&amp;id=964报名。</w:t>
      </w:r>
    </w:p>
    <w:p>
      <w:pPr>
        <w:jc w:val="left"/>
        <w:rPr>
          <w:rFonts w:hint="eastAsia" w:ascii="仿宋_GB2312" w:hAnsi="宋体" w:eastAsia="仿宋_GB2312"/>
          <w:sz w:val="32"/>
          <w:szCs w:val="32"/>
        </w:rPr>
      </w:pPr>
      <w:r>
        <w:rPr>
          <w:rFonts w:hint="eastAsia" w:ascii="仿宋_GB2312" w:hAnsi="宋体" w:eastAsia="仿宋_GB2312"/>
          <w:sz w:val="32"/>
          <w:szCs w:val="32"/>
          <w:lang w:val="en-US" w:eastAsia="zh-CN"/>
        </w:rPr>
        <w:t>2、或者在</w:t>
      </w:r>
      <w:r>
        <w:rPr>
          <w:rFonts w:hint="eastAsia" w:ascii="仿宋_GB2312" w:eastAsia="仿宋_GB2312"/>
          <w:sz w:val="32"/>
          <w:szCs w:val="32"/>
          <w:lang w:val="en-US" w:eastAsia="zh-CN"/>
        </w:rPr>
        <w:t>2018年3月28日17:00前将报名回执表</w:t>
      </w:r>
      <w:r>
        <w:rPr>
          <w:rFonts w:hint="eastAsia" w:ascii="仿宋_GB2312" w:hAnsi="宋体" w:eastAsia="仿宋_GB2312"/>
          <w:sz w:val="32"/>
          <w:szCs w:val="32"/>
          <w:lang w:val="en-US" w:eastAsia="zh-CN"/>
        </w:rPr>
        <w:t>发至</w:t>
      </w:r>
      <w:r>
        <w:rPr>
          <w:rFonts w:hint="eastAsia" w:ascii="仿宋_GB2312" w:eastAsia="仿宋_GB2312"/>
          <w:sz w:val="32"/>
          <w:szCs w:val="32"/>
          <w:lang w:val="en-US" w:eastAsia="zh-CN"/>
        </w:rPr>
        <w:t>邮箱：</w:t>
      </w:r>
      <w:r>
        <w:rPr>
          <w:rFonts w:hint="default" w:ascii="仿宋_GB2312" w:eastAsia="仿宋_GB2312"/>
          <w:sz w:val="32"/>
          <w:szCs w:val="32"/>
          <w:lang w:val="en-US" w:eastAsia="zh-CN"/>
        </w:rPr>
        <w:fldChar w:fldCharType="begin"/>
      </w:r>
      <w:r>
        <w:rPr>
          <w:rFonts w:hint="default" w:ascii="仿宋_GB2312" w:eastAsia="仿宋_GB2312"/>
          <w:sz w:val="32"/>
          <w:szCs w:val="32"/>
          <w:lang w:val="en-US" w:eastAsia="zh-CN"/>
        </w:rPr>
        <w:instrText xml:space="preserve"> HYPERLINK "mailto:hd_chuangyi@vip.163.com" </w:instrText>
      </w:r>
      <w:r>
        <w:rPr>
          <w:rFonts w:hint="default" w:ascii="仿宋_GB2312" w:eastAsia="仿宋_GB2312"/>
          <w:sz w:val="32"/>
          <w:szCs w:val="32"/>
          <w:lang w:val="en-US" w:eastAsia="zh-CN"/>
        </w:rPr>
        <w:fldChar w:fldCharType="separate"/>
      </w:r>
      <w:r>
        <w:rPr>
          <w:rFonts w:hint="eastAsia" w:ascii="仿宋_GB2312" w:eastAsia="仿宋_GB2312"/>
          <w:sz w:val="32"/>
          <w:szCs w:val="32"/>
        </w:rPr>
        <w:t>hd_chuangyi@vip.163.com</w:t>
      </w:r>
      <w:r>
        <w:rPr>
          <w:rFonts w:hint="default" w:ascii="仿宋_GB2312" w:eastAsia="仿宋_GB2312"/>
          <w:sz w:val="32"/>
          <w:szCs w:val="32"/>
          <w:lang w:val="en-US" w:eastAsia="zh-CN"/>
        </w:rPr>
        <w:fldChar w:fldCharType="end"/>
      </w:r>
      <w:r>
        <w:rPr>
          <w:rFonts w:hint="eastAsia" w:ascii="仿宋_GB2312" w:hAnsi="宋体" w:eastAsia="仿宋_GB2312"/>
          <w:sz w:val="32"/>
          <w:szCs w:val="32"/>
        </w:rPr>
        <w:t>。</w:t>
      </w:r>
    </w:p>
    <w:p>
      <w:pPr>
        <w:jc w:val="left"/>
        <w:rPr>
          <w:rFonts w:hint="eastAsia" w:ascii="仿宋_GB2312" w:eastAsia="仿宋_GB2312"/>
          <w:sz w:val="32"/>
          <w:szCs w:val="32"/>
          <w:lang w:eastAsia="zh-CN"/>
        </w:rPr>
      </w:pPr>
      <w:r>
        <w:rPr>
          <w:rFonts w:hint="eastAsia" w:ascii="仿宋_GB2312" w:eastAsia="仿宋_GB2312"/>
          <w:sz w:val="32"/>
          <w:szCs w:val="32"/>
          <w:lang w:eastAsia="zh-CN"/>
        </w:rPr>
        <w:t>附件：</w:t>
      </w:r>
    </w:p>
    <w:p>
      <w:pPr>
        <w:jc w:val="left"/>
        <w:rPr>
          <w:rFonts w:hint="eastAsia" w:ascii="仿宋_GB2312" w:eastAsia="仿宋_GB2312"/>
          <w:sz w:val="32"/>
          <w:szCs w:val="32"/>
          <w:lang w:val="en-US" w:eastAsia="zh-CN"/>
        </w:rPr>
      </w:pPr>
    </w:p>
    <w:p>
      <w:pPr>
        <w:widowControl/>
        <w:spacing w:beforeAutospacing="1" w:afterAutospacing="1" w:line="240" w:lineRule="auto"/>
        <w:jc w:val="center"/>
        <w:rPr>
          <w:rFonts w:ascii="Arial" w:hAnsi="Arial" w:cs="Arial"/>
          <w:color w:val="000000"/>
          <w:szCs w:val="21"/>
        </w:rPr>
      </w:pPr>
      <w:r>
        <w:rPr>
          <w:rFonts w:hint="eastAsia" w:ascii="宋体" w:hAnsi="宋体" w:eastAsia="宋体" w:cs="宋体"/>
          <w:color w:val="000000"/>
          <w:kern w:val="0"/>
          <w:sz w:val="30"/>
          <w:szCs w:val="30"/>
        </w:rPr>
        <w:t>回执表</w:t>
      </w:r>
    </w:p>
    <w:tbl>
      <w:tblPr>
        <w:tblStyle w:val="6"/>
        <w:tblpPr w:leftFromText="180" w:rightFromText="180" w:vertAnchor="text" w:horzAnchor="page" w:tblpX="2007" w:tblpY="474"/>
        <w:tblOverlap w:val="never"/>
        <w:tblW w:w="8540" w:type="dxa"/>
        <w:tblInd w:w="0" w:type="dxa"/>
        <w:tblLayout w:type="fixed"/>
        <w:tblCellMar>
          <w:top w:w="15" w:type="dxa"/>
          <w:left w:w="15" w:type="dxa"/>
          <w:bottom w:w="15" w:type="dxa"/>
          <w:right w:w="15" w:type="dxa"/>
        </w:tblCellMar>
      </w:tblPr>
      <w:tblGrid>
        <w:gridCol w:w="1623"/>
        <w:gridCol w:w="1476"/>
        <w:gridCol w:w="2570"/>
        <w:gridCol w:w="2871"/>
      </w:tblGrid>
      <w:tr>
        <w:tblPrEx>
          <w:tblLayout w:type="fixed"/>
        </w:tblPrEx>
        <w:tc>
          <w:tcPr>
            <w:tcW w:w="1623" w:type="dxa"/>
            <w:tcBorders>
              <w:top w:val="single" w:color="000000" w:sz="8" w:space="0"/>
              <w:left w:val="single" w:color="000000" w:sz="8" w:space="0"/>
              <w:bottom w:val="single" w:color="000000" w:sz="8" w:space="0"/>
              <w:right w:val="nil"/>
            </w:tcBorders>
            <w:shd w:val="clear" w:color="auto" w:fill="auto"/>
            <w:tcMar>
              <w:top w:w="0" w:type="dxa"/>
              <w:left w:w="108" w:type="dxa"/>
              <w:bottom w:w="0" w:type="dxa"/>
              <w:right w:w="108" w:type="dxa"/>
            </w:tcMar>
            <w:vAlign w:val="center"/>
          </w:tcPr>
          <w:p>
            <w:pPr>
              <w:widowControl/>
              <w:spacing w:before="156" w:afterAutospacing="1" w:line="240" w:lineRule="auto"/>
              <w:ind w:right="75"/>
              <w:jc w:val="center"/>
              <w:rPr>
                <w:rFonts w:hint="eastAsia"/>
              </w:rPr>
            </w:pPr>
            <w:r>
              <w:rPr>
                <w:rFonts w:ascii="仿宋_GB2312" w:hAnsi="Arial" w:eastAsia="仿宋_GB2312" w:cs="仿宋_GB2312"/>
                <w:kern w:val="0"/>
                <w:sz w:val="28"/>
                <w:szCs w:val="28"/>
              </w:rPr>
              <w:t>单位名称</w:t>
            </w:r>
          </w:p>
        </w:tc>
        <w:tc>
          <w:tcPr>
            <w:tcW w:w="6917" w:type="dxa"/>
            <w:gridSpan w:val="3"/>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before="156" w:afterAutospacing="1" w:line="240" w:lineRule="auto"/>
              <w:ind w:right="75"/>
              <w:jc w:val="left"/>
              <w:rPr>
                <w:rFonts w:hint="eastAsia"/>
              </w:rPr>
            </w:pPr>
            <w:r>
              <w:rPr>
                <w:rFonts w:hint="eastAsia" w:ascii="宋体" w:hAnsi="宋体" w:eastAsia="宋体" w:cs="宋体"/>
                <w:kern w:val="0"/>
                <w:sz w:val="24"/>
                <w:szCs w:val="24"/>
              </w:rPr>
              <w:t> </w:t>
            </w:r>
          </w:p>
        </w:tc>
      </w:tr>
      <w:tr>
        <w:tblPrEx>
          <w:tblLayout w:type="fixed"/>
          <w:tblCellMar>
            <w:top w:w="15" w:type="dxa"/>
            <w:left w:w="15" w:type="dxa"/>
            <w:bottom w:w="15" w:type="dxa"/>
            <w:right w:w="15" w:type="dxa"/>
          </w:tblCellMar>
        </w:tblPrEx>
        <w:trPr>
          <w:trHeight w:val="697" w:hRule="atLeast"/>
        </w:trPr>
        <w:tc>
          <w:tcPr>
            <w:tcW w:w="1623" w:type="dxa"/>
            <w:tcBorders>
              <w:top w:val="nil"/>
              <w:left w:val="single" w:color="000000" w:sz="8" w:space="0"/>
              <w:bottom w:val="single" w:color="000000" w:sz="8" w:space="0"/>
              <w:right w:val="nil"/>
            </w:tcBorders>
            <w:shd w:val="clear" w:color="auto" w:fill="auto"/>
            <w:tcMar>
              <w:top w:w="0" w:type="dxa"/>
              <w:left w:w="108" w:type="dxa"/>
              <w:bottom w:w="0" w:type="dxa"/>
              <w:right w:w="108" w:type="dxa"/>
            </w:tcMar>
            <w:vAlign w:val="center"/>
          </w:tcPr>
          <w:p>
            <w:pPr>
              <w:widowControl/>
              <w:spacing w:before="156" w:afterAutospacing="1" w:line="240" w:lineRule="auto"/>
              <w:ind w:right="75"/>
              <w:jc w:val="center"/>
              <w:rPr>
                <w:rFonts w:hint="eastAsia"/>
              </w:rPr>
            </w:pPr>
            <w:r>
              <w:rPr>
                <w:rFonts w:ascii="仿宋_GB2312" w:hAnsi="Arial" w:eastAsia="仿宋_GB2312" w:cs="仿宋_GB2312"/>
                <w:kern w:val="0"/>
                <w:sz w:val="28"/>
                <w:szCs w:val="28"/>
              </w:rPr>
              <w:t>姓名</w:t>
            </w:r>
          </w:p>
        </w:tc>
        <w:tc>
          <w:tcPr>
            <w:tcW w:w="1476" w:type="dxa"/>
            <w:tcBorders>
              <w:top w:val="nil"/>
              <w:left w:val="single" w:color="000000" w:sz="8" w:space="0"/>
              <w:bottom w:val="single" w:color="000000" w:sz="8" w:space="0"/>
              <w:right w:val="nil"/>
            </w:tcBorders>
            <w:shd w:val="clear" w:color="auto" w:fill="auto"/>
            <w:tcMar>
              <w:top w:w="0" w:type="dxa"/>
              <w:left w:w="108" w:type="dxa"/>
              <w:bottom w:w="0" w:type="dxa"/>
              <w:right w:w="108" w:type="dxa"/>
            </w:tcMar>
            <w:vAlign w:val="center"/>
          </w:tcPr>
          <w:p>
            <w:pPr>
              <w:widowControl/>
              <w:spacing w:before="156" w:afterAutospacing="1" w:line="240" w:lineRule="auto"/>
              <w:ind w:right="75"/>
              <w:jc w:val="center"/>
              <w:rPr>
                <w:rFonts w:hint="eastAsia"/>
              </w:rPr>
            </w:pPr>
            <w:r>
              <w:rPr>
                <w:rFonts w:ascii="仿宋_GB2312" w:hAnsi="Arial" w:eastAsia="仿宋_GB2312" w:cs="仿宋_GB2312"/>
                <w:kern w:val="0"/>
                <w:sz w:val="28"/>
                <w:szCs w:val="28"/>
              </w:rPr>
              <w:t>职务</w:t>
            </w:r>
          </w:p>
        </w:tc>
        <w:tc>
          <w:tcPr>
            <w:tcW w:w="2570" w:type="dxa"/>
            <w:tcBorders>
              <w:top w:val="nil"/>
              <w:left w:val="single" w:color="000000" w:sz="8" w:space="0"/>
              <w:bottom w:val="single" w:color="000000" w:sz="8" w:space="0"/>
              <w:right w:val="nil"/>
            </w:tcBorders>
            <w:shd w:val="clear" w:color="auto" w:fill="auto"/>
            <w:tcMar>
              <w:top w:w="0" w:type="dxa"/>
              <w:left w:w="108" w:type="dxa"/>
              <w:bottom w:w="0" w:type="dxa"/>
              <w:right w:w="108" w:type="dxa"/>
            </w:tcMar>
            <w:vAlign w:val="center"/>
          </w:tcPr>
          <w:p>
            <w:pPr>
              <w:widowControl/>
              <w:spacing w:before="156" w:afterAutospacing="1" w:line="240" w:lineRule="auto"/>
              <w:ind w:right="75"/>
              <w:jc w:val="center"/>
              <w:rPr>
                <w:rFonts w:hint="eastAsia"/>
              </w:rPr>
            </w:pPr>
            <w:r>
              <w:rPr>
                <w:rFonts w:ascii="仿宋_GB2312" w:hAnsi="Arial" w:eastAsia="仿宋_GB2312" w:cs="仿宋_GB2312"/>
                <w:kern w:val="0"/>
                <w:sz w:val="28"/>
                <w:szCs w:val="28"/>
              </w:rPr>
              <w:t>电话</w:t>
            </w:r>
          </w:p>
        </w:tc>
        <w:tc>
          <w:tcPr>
            <w:tcW w:w="2871"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widowControl/>
              <w:spacing w:before="156" w:afterAutospacing="1" w:line="240" w:lineRule="auto"/>
              <w:ind w:right="75"/>
              <w:jc w:val="center"/>
              <w:rPr>
                <w:rFonts w:hint="eastAsia"/>
              </w:rPr>
            </w:pPr>
            <w:r>
              <w:rPr>
                <w:rFonts w:ascii="仿宋_GB2312" w:hAnsi="Arial" w:eastAsia="仿宋_GB2312" w:cs="仿宋_GB2312"/>
                <w:kern w:val="0"/>
                <w:sz w:val="28"/>
                <w:szCs w:val="28"/>
              </w:rPr>
              <w:t>邮箱</w:t>
            </w:r>
          </w:p>
        </w:tc>
      </w:tr>
      <w:tr>
        <w:tblPrEx>
          <w:tblLayout w:type="fixed"/>
          <w:tblCellMar>
            <w:top w:w="15" w:type="dxa"/>
            <w:left w:w="15" w:type="dxa"/>
            <w:bottom w:w="15" w:type="dxa"/>
            <w:right w:w="15" w:type="dxa"/>
          </w:tblCellMar>
        </w:tblPrEx>
        <w:trPr>
          <w:trHeight w:val="703" w:hRule="atLeast"/>
        </w:trPr>
        <w:tc>
          <w:tcPr>
            <w:tcW w:w="1623" w:type="dxa"/>
            <w:tcBorders>
              <w:top w:val="nil"/>
              <w:left w:val="single" w:color="000000" w:sz="8" w:space="0"/>
              <w:bottom w:val="single" w:color="auto" w:sz="8" w:space="0"/>
              <w:right w:val="nil"/>
            </w:tcBorders>
            <w:shd w:val="clear" w:color="auto" w:fill="auto"/>
            <w:tcMar>
              <w:top w:w="0" w:type="dxa"/>
              <w:left w:w="108" w:type="dxa"/>
              <w:bottom w:w="0" w:type="dxa"/>
              <w:right w:w="108" w:type="dxa"/>
            </w:tcMar>
            <w:vAlign w:val="center"/>
          </w:tcPr>
          <w:p>
            <w:pPr>
              <w:widowControl/>
              <w:spacing w:before="156" w:afterAutospacing="1" w:line="240" w:lineRule="auto"/>
              <w:ind w:right="75"/>
              <w:jc w:val="left"/>
              <w:rPr>
                <w:rFonts w:hint="eastAsia"/>
              </w:rPr>
            </w:pPr>
            <w:r>
              <w:rPr>
                <w:rFonts w:hint="eastAsia" w:ascii="宋体" w:hAnsi="宋体" w:eastAsia="宋体" w:cs="宋体"/>
                <w:kern w:val="0"/>
                <w:sz w:val="24"/>
                <w:szCs w:val="24"/>
              </w:rPr>
              <w:t> </w:t>
            </w:r>
          </w:p>
        </w:tc>
        <w:tc>
          <w:tcPr>
            <w:tcW w:w="1476" w:type="dxa"/>
            <w:tcBorders>
              <w:top w:val="nil"/>
              <w:left w:val="single" w:color="000000" w:sz="8" w:space="0"/>
              <w:bottom w:val="single" w:color="auto" w:sz="8" w:space="0"/>
              <w:right w:val="nil"/>
            </w:tcBorders>
            <w:shd w:val="clear" w:color="auto" w:fill="auto"/>
            <w:tcMar>
              <w:top w:w="0" w:type="dxa"/>
              <w:left w:w="108" w:type="dxa"/>
              <w:bottom w:w="0" w:type="dxa"/>
              <w:right w:w="108" w:type="dxa"/>
            </w:tcMar>
            <w:vAlign w:val="center"/>
          </w:tcPr>
          <w:p>
            <w:pPr>
              <w:widowControl/>
              <w:spacing w:before="156" w:afterAutospacing="1" w:line="240" w:lineRule="auto"/>
              <w:ind w:left="75" w:right="75"/>
              <w:jc w:val="center"/>
              <w:rPr>
                <w:rFonts w:hint="eastAsia"/>
              </w:rPr>
            </w:pPr>
            <w:r>
              <w:rPr>
                <w:rFonts w:hint="eastAsia" w:ascii="宋体" w:hAnsi="宋体" w:eastAsia="宋体" w:cs="宋体"/>
                <w:kern w:val="0"/>
                <w:sz w:val="24"/>
                <w:szCs w:val="24"/>
              </w:rPr>
              <w:t> </w:t>
            </w:r>
          </w:p>
        </w:tc>
        <w:tc>
          <w:tcPr>
            <w:tcW w:w="2570" w:type="dxa"/>
            <w:tcBorders>
              <w:top w:val="nil"/>
              <w:left w:val="single" w:color="000000" w:sz="8" w:space="0"/>
              <w:bottom w:val="single" w:color="auto" w:sz="8" w:space="0"/>
              <w:right w:val="nil"/>
            </w:tcBorders>
            <w:shd w:val="clear" w:color="auto" w:fill="auto"/>
            <w:tcMar>
              <w:top w:w="0" w:type="dxa"/>
              <w:left w:w="108" w:type="dxa"/>
              <w:bottom w:w="0" w:type="dxa"/>
              <w:right w:w="108" w:type="dxa"/>
            </w:tcMar>
            <w:vAlign w:val="center"/>
          </w:tcPr>
          <w:p>
            <w:pPr>
              <w:widowControl/>
              <w:spacing w:before="156" w:afterAutospacing="1" w:line="240" w:lineRule="auto"/>
              <w:ind w:left="75" w:right="75"/>
              <w:jc w:val="center"/>
              <w:rPr>
                <w:rFonts w:hint="eastAsia"/>
              </w:rPr>
            </w:pPr>
            <w:r>
              <w:rPr>
                <w:rFonts w:hint="eastAsia" w:ascii="宋体" w:hAnsi="宋体" w:eastAsia="宋体" w:cs="宋体"/>
                <w:kern w:val="0"/>
                <w:sz w:val="24"/>
                <w:szCs w:val="24"/>
              </w:rPr>
              <w:t> </w:t>
            </w:r>
          </w:p>
        </w:tc>
        <w:tc>
          <w:tcPr>
            <w:tcW w:w="2871" w:type="dxa"/>
            <w:tcBorders>
              <w:top w:val="nil"/>
              <w:left w:val="single" w:color="000000" w:sz="8" w:space="0"/>
              <w:bottom w:val="single" w:color="auto" w:sz="8" w:space="0"/>
              <w:right w:val="single" w:color="000000" w:sz="8" w:space="0"/>
            </w:tcBorders>
            <w:shd w:val="clear" w:color="auto" w:fill="auto"/>
            <w:tcMar>
              <w:top w:w="0" w:type="dxa"/>
              <w:left w:w="108" w:type="dxa"/>
              <w:bottom w:w="0" w:type="dxa"/>
              <w:right w:w="108" w:type="dxa"/>
            </w:tcMar>
            <w:vAlign w:val="center"/>
          </w:tcPr>
          <w:p>
            <w:pPr>
              <w:widowControl/>
              <w:spacing w:before="156" w:afterAutospacing="1" w:line="240" w:lineRule="auto"/>
              <w:ind w:left="75" w:right="75" w:firstLine="480"/>
              <w:jc w:val="left"/>
              <w:rPr>
                <w:rFonts w:hint="eastAsia"/>
              </w:rPr>
            </w:pPr>
            <w:r>
              <w:rPr>
                <w:rFonts w:hint="eastAsia" w:ascii="宋体" w:hAnsi="宋体" w:eastAsia="宋体" w:cs="宋体"/>
                <w:kern w:val="0"/>
                <w:sz w:val="24"/>
                <w:szCs w:val="24"/>
              </w:rPr>
              <w:t> </w:t>
            </w:r>
          </w:p>
        </w:tc>
      </w:tr>
      <w:tr>
        <w:tblPrEx>
          <w:tblLayout w:type="fixed"/>
          <w:tblCellMar>
            <w:top w:w="15" w:type="dxa"/>
            <w:left w:w="15" w:type="dxa"/>
            <w:bottom w:w="15" w:type="dxa"/>
            <w:right w:w="15" w:type="dxa"/>
          </w:tblCellMar>
        </w:tblPrEx>
        <w:trPr>
          <w:trHeight w:val="758" w:hRule="atLeast"/>
        </w:trPr>
        <w:tc>
          <w:tcPr>
            <w:tcW w:w="1623" w:type="dxa"/>
            <w:tcBorders>
              <w:top w:val="nil"/>
              <w:left w:val="single" w:color="000000" w:sz="8" w:space="0"/>
              <w:bottom w:val="single" w:color="auto" w:sz="8" w:space="0"/>
              <w:right w:val="nil"/>
            </w:tcBorders>
            <w:shd w:val="clear" w:color="auto" w:fill="auto"/>
            <w:tcMar>
              <w:top w:w="0" w:type="dxa"/>
              <w:left w:w="108" w:type="dxa"/>
              <w:bottom w:w="0" w:type="dxa"/>
              <w:right w:w="108" w:type="dxa"/>
            </w:tcMar>
            <w:vAlign w:val="center"/>
          </w:tcPr>
          <w:p>
            <w:pPr>
              <w:widowControl/>
              <w:spacing w:before="156" w:afterAutospacing="1" w:line="240" w:lineRule="auto"/>
              <w:ind w:left="75" w:right="75" w:firstLine="480"/>
              <w:jc w:val="left"/>
              <w:rPr>
                <w:rFonts w:hint="eastAsia"/>
              </w:rPr>
            </w:pPr>
            <w:r>
              <w:rPr>
                <w:rFonts w:hint="eastAsia" w:ascii="宋体" w:hAnsi="宋体" w:eastAsia="宋体" w:cs="宋体"/>
                <w:kern w:val="0"/>
                <w:sz w:val="24"/>
                <w:szCs w:val="24"/>
              </w:rPr>
              <w:t> </w:t>
            </w:r>
          </w:p>
        </w:tc>
        <w:tc>
          <w:tcPr>
            <w:tcW w:w="1476" w:type="dxa"/>
            <w:tcBorders>
              <w:top w:val="nil"/>
              <w:left w:val="single" w:color="000000" w:sz="8" w:space="0"/>
              <w:bottom w:val="single" w:color="auto" w:sz="8" w:space="0"/>
              <w:right w:val="nil"/>
            </w:tcBorders>
            <w:shd w:val="clear" w:color="auto" w:fill="auto"/>
            <w:tcMar>
              <w:top w:w="0" w:type="dxa"/>
              <w:left w:w="108" w:type="dxa"/>
              <w:bottom w:w="0" w:type="dxa"/>
              <w:right w:w="108" w:type="dxa"/>
            </w:tcMar>
            <w:vAlign w:val="center"/>
          </w:tcPr>
          <w:p>
            <w:pPr>
              <w:widowControl/>
              <w:spacing w:before="156" w:afterAutospacing="1" w:line="240" w:lineRule="auto"/>
              <w:ind w:left="75" w:right="75"/>
              <w:jc w:val="center"/>
              <w:rPr>
                <w:rFonts w:hint="eastAsia"/>
              </w:rPr>
            </w:pPr>
            <w:r>
              <w:rPr>
                <w:rFonts w:hint="eastAsia" w:ascii="宋体" w:hAnsi="宋体" w:eastAsia="宋体" w:cs="宋体"/>
                <w:kern w:val="0"/>
                <w:sz w:val="24"/>
                <w:szCs w:val="24"/>
              </w:rPr>
              <w:t> </w:t>
            </w:r>
          </w:p>
        </w:tc>
        <w:tc>
          <w:tcPr>
            <w:tcW w:w="2570" w:type="dxa"/>
            <w:tcBorders>
              <w:top w:val="nil"/>
              <w:left w:val="single" w:color="000000" w:sz="8" w:space="0"/>
              <w:bottom w:val="single" w:color="auto" w:sz="8" w:space="0"/>
              <w:right w:val="nil"/>
            </w:tcBorders>
            <w:shd w:val="clear" w:color="auto" w:fill="auto"/>
            <w:tcMar>
              <w:top w:w="0" w:type="dxa"/>
              <w:left w:w="108" w:type="dxa"/>
              <w:bottom w:w="0" w:type="dxa"/>
              <w:right w:w="108" w:type="dxa"/>
            </w:tcMar>
            <w:vAlign w:val="center"/>
          </w:tcPr>
          <w:p>
            <w:pPr>
              <w:widowControl/>
              <w:spacing w:before="156" w:afterAutospacing="1" w:line="240" w:lineRule="auto"/>
              <w:ind w:left="75" w:right="75"/>
              <w:jc w:val="center"/>
              <w:rPr>
                <w:rFonts w:hint="eastAsia"/>
              </w:rPr>
            </w:pPr>
            <w:r>
              <w:rPr>
                <w:rFonts w:hint="eastAsia" w:ascii="宋体" w:hAnsi="宋体" w:eastAsia="宋体" w:cs="宋体"/>
                <w:kern w:val="0"/>
                <w:sz w:val="24"/>
                <w:szCs w:val="24"/>
              </w:rPr>
              <w:t> </w:t>
            </w:r>
          </w:p>
        </w:tc>
        <w:tc>
          <w:tcPr>
            <w:tcW w:w="2871" w:type="dxa"/>
            <w:tcBorders>
              <w:top w:val="nil"/>
              <w:left w:val="single" w:color="000000" w:sz="8" w:space="0"/>
              <w:bottom w:val="single" w:color="auto" w:sz="8" w:space="0"/>
              <w:right w:val="single" w:color="000000" w:sz="8" w:space="0"/>
            </w:tcBorders>
            <w:shd w:val="clear" w:color="auto" w:fill="auto"/>
            <w:tcMar>
              <w:top w:w="0" w:type="dxa"/>
              <w:left w:w="108" w:type="dxa"/>
              <w:bottom w:w="0" w:type="dxa"/>
              <w:right w:w="108" w:type="dxa"/>
            </w:tcMar>
            <w:vAlign w:val="center"/>
          </w:tcPr>
          <w:p>
            <w:pPr>
              <w:widowControl/>
              <w:spacing w:before="156" w:afterAutospacing="1" w:line="240" w:lineRule="auto"/>
              <w:ind w:left="75" w:right="75" w:firstLine="480"/>
              <w:jc w:val="left"/>
              <w:rPr>
                <w:rFonts w:hint="eastAsia"/>
              </w:rPr>
            </w:pPr>
            <w:r>
              <w:rPr>
                <w:rFonts w:hint="eastAsia" w:ascii="宋体" w:hAnsi="宋体" w:eastAsia="宋体" w:cs="宋体"/>
                <w:kern w:val="0"/>
                <w:sz w:val="24"/>
                <w:szCs w:val="24"/>
              </w:rPr>
              <w:t> </w:t>
            </w:r>
          </w:p>
        </w:tc>
      </w:tr>
    </w:tbl>
    <w:p>
      <w:pPr>
        <w:ind w:firstLine="420" w:firstLineChars="200"/>
        <w:rPr>
          <w:rFonts w:hint="eastAsia"/>
        </w:rPr>
      </w:pPr>
    </w:p>
    <w:p>
      <w:pPr>
        <w:ind w:firstLine="420" w:firstLineChars="200"/>
        <w:rPr>
          <w:rFonts w:hint="eastAsia"/>
        </w:rPr>
      </w:pPr>
    </w:p>
    <w:p>
      <w:pPr>
        <w:ind w:firstLine="420" w:firstLineChars="200"/>
        <w:rPr>
          <w:rFonts w:hint="eastAsia"/>
        </w:rPr>
      </w:pPr>
    </w:p>
    <w:p>
      <w:pPr>
        <w:jc w:val="left"/>
        <w:rPr>
          <w:rFonts w:hint="eastAsia" w:ascii="仿宋_GB2312" w:eastAsia="仿宋_GB2312"/>
          <w:sz w:val="32"/>
          <w:szCs w:val="32"/>
          <w:lang w:eastAsia="zh-CN"/>
        </w:rPr>
      </w:pPr>
    </w:p>
    <w:p>
      <w:pPr>
        <w:jc w:val="center"/>
        <w:rPr>
          <w:rFonts w:hint="eastAsia" w:ascii="仿宋_GB2312" w:eastAsia="仿宋_GB2312"/>
          <w:sz w:val="32"/>
          <w:szCs w:val="32"/>
          <w:lang w:eastAsia="zh-CN"/>
        </w:rPr>
      </w:pPr>
      <w:r>
        <w:rPr>
          <w:rFonts w:hint="eastAsia" w:ascii="仿宋_GB2312" w:eastAsia="仿宋_GB2312"/>
          <w:sz w:val="32"/>
          <w:szCs w:val="32"/>
          <w:lang w:eastAsia="zh-CN"/>
        </w:rPr>
        <w:t>会议路线图</w:t>
      </w:r>
    </w:p>
    <w:p>
      <w:pPr>
        <w:ind w:firstLine="420" w:firstLineChars="200"/>
        <w:jc w:val="left"/>
        <w:rPr>
          <w:rFonts w:hint="eastAsia"/>
          <w:lang w:eastAsia="zh-CN"/>
        </w:rPr>
      </w:pPr>
      <w:r>
        <w:drawing>
          <wp:inline distT="0" distB="0" distL="114300" distR="114300">
            <wp:extent cx="5273675" cy="3977640"/>
            <wp:effectExtent l="0" t="0" r="317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3977640"/>
                    </a:xfrm>
                    <a:prstGeom prst="rect">
                      <a:avLst/>
                    </a:prstGeom>
                    <a:noFill/>
                    <a:ln w="9525">
                      <a:noFill/>
                    </a:ln>
                  </pic:spPr>
                </pic:pic>
              </a:graphicData>
            </a:graphic>
          </wp:inline>
        </w:drawing>
      </w:r>
    </w:p>
    <w:p>
      <w:pPr>
        <w:ind w:firstLine="42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C1606"/>
    <w:rsid w:val="002907AB"/>
    <w:rsid w:val="0033463C"/>
    <w:rsid w:val="00335CF1"/>
    <w:rsid w:val="005B7B9D"/>
    <w:rsid w:val="008120C8"/>
    <w:rsid w:val="026A41FD"/>
    <w:rsid w:val="07AC090A"/>
    <w:rsid w:val="09CE6155"/>
    <w:rsid w:val="0C0B3C1A"/>
    <w:rsid w:val="0C405A38"/>
    <w:rsid w:val="1B72719F"/>
    <w:rsid w:val="1C853378"/>
    <w:rsid w:val="1CB5266B"/>
    <w:rsid w:val="1E0D6450"/>
    <w:rsid w:val="2104267E"/>
    <w:rsid w:val="216C540B"/>
    <w:rsid w:val="26574330"/>
    <w:rsid w:val="2AC10651"/>
    <w:rsid w:val="2C9B3CD4"/>
    <w:rsid w:val="2E5B602E"/>
    <w:rsid w:val="3795635E"/>
    <w:rsid w:val="3C8779E6"/>
    <w:rsid w:val="42A76A3A"/>
    <w:rsid w:val="43BA5657"/>
    <w:rsid w:val="47377997"/>
    <w:rsid w:val="48D06B31"/>
    <w:rsid w:val="4C774FA8"/>
    <w:rsid w:val="4CCD46DE"/>
    <w:rsid w:val="4D9C1606"/>
    <w:rsid w:val="4DB77BFE"/>
    <w:rsid w:val="51C5323D"/>
    <w:rsid w:val="53380760"/>
    <w:rsid w:val="56693FAE"/>
    <w:rsid w:val="59D4430D"/>
    <w:rsid w:val="60C7521D"/>
    <w:rsid w:val="6F252441"/>
    <w:rsid w:val="715E455C"/>
    <w:rsid w:val="793334D0"/>
    <w:rsid w:val="7A813665"/>
    <w:rsid w:val="7C5F1E37"/>
    <w:rsid w:val="7F8F6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0000FF"/>
      <w:u w:val="single"/>
    </w:r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87</Words>
  <Characters>500</Characters>
  <Lines>4</Lines>
  <Paragraphs>1</Paragraphs>
  <ScaleCrop>false</ScaleCrop>
  <LinksUpToDate>false</LinksUpToDate>
  <CharactersWithSpaces>586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2018-03-12T08:38:00Z</dcterms:created>
  <dc:creator>lisa</dc:creator>
  <cp:lastModifiedBy>绘以悲</cp:lastModifiedBy>
  <dcterms:modified xsi:type="dcterms:W3CDTF">2018-03-19T08:25:37Z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